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2012/19 vom 29. Mai 2011</w:t>
      </w:r>
    </w:p>
    <w:p>
      <w:r>
        <w:t>Sg Versicherungsgericht, 2011-05-29, DE</w:t>
      </w:r>
    </w:p>
    <w:p>
      <w:r>
        <w:rPr>
          <w:b/>
        </w:rPr>
        <w:t xml:space="preserve">Quelle: </w:t>
      </w:r>
      <w:r>
        <w:t>https://mcp.opencaselaw.ch/entscheid/sg_publikationen_EL 2012_19</w:t>
      </w:r>
    </w:p>
    <w:p>
      <w:r>
        <w:t>FR: SG_VERSICHERUNGSGERICHT EL 2012/19 du 29 mai 2011</w:t>
      </w:r>
    </w:p>
    <w:p>
      <w:r>
        <w:t>IT: SG_VERSICHERUNGSGERICHT EL 2012/19 del 29 maggio 2011</w:t>
      </w:r>
    </w:p>
    <w:p>
      <w:pPr>
        <w:pStyle w:val="Heading2"/>
      </w:pPr>
      <w:r>
        <w:t>Regeste</w:t>
      </w:r>
    </w:p>
    <w:p>
      <w:r>
        <w:t>Art. 11 Abs. 1 lit. g ELG. Höhe des anrechenbaren Vermögens. Berücksichtigung einer Schenkung ohne Geldfluss und von Naturalleistungen Verwandter. Bewertung eines Wohnrechts. Auslegung einer Bestimmung eines Erbteilungsvertrages betreffend Zinspflicht in Bezug auf ein Darlehen (Entscheid des Versicherungsgerichts des Kantons St. Gallen vom 30. November 2012, EL 2012/19).Präsidentin Karin Huber-Studerus, a.o. Versicherungsrichterin Gertrud Condamin-Voney, a.o. Versicherungsrichter Christian Zingg; Gerichtsschreiber Tobias BoltEntscheid vom 30. November 2012in SachenA.___,Beschwerdeführerin,gegenSozialversicherungsanstalt des Kantons St. Gallen, Ausgleichskasse des Kantons St. Gallen, Brauerstrasse 54, Postfach, 9016 St. Gallen,Beschwerdegegnerin,betreffendErgänzungsleistung zur AHVSachverhalt:</w:t>
      </w:r>
    </w:p>
    <w:p>
      <w:pPr>
        <w:pStyle w:val="Heading2"/>
      </w:pPr>
      <w:r>
        <w:t>Erwägungen</w:t>
      </w:r>
    </w:p>
    <w:p>
      <w:r>
        <w:rPr>
          <w:b/>
        </w:rPr>
        <w:t>E. 1</w:t>
      </w:r>
    </w:p>
    <w:p>
      <w:r>
        <w:t>Streitig und zu prüfen ist, ob die Beschwerdegegnerin einen Anspruch der Be­schwerdeführerin auf eine jährliche Ergänzungsleistung im Sinne von Art. 3 Abs. 1 lit. a des Bundesgesetzes über Ergänzungsleistungen zur Alters-, Hinterlassenen- und Invalidenversicherung (ELG; SR 831.30) ab Mai 2011 zu Recht verneint hat. Das Ver­sicherungsgericht ist gemäss Art. 61 lit. c des Bundesgesetzes über den Allgemeinen Teil des Sozialversicherungsrechts (ATSG; SR 830.1) verpflichtet, unter Mitwirkung der Parteien die für den Entscheid erheblichen Tatsachen festzustellen, die notwendigen Beweise zu erheben und diese frei zu würdigen. Es ist nicht an die Parteibegehren ge­bunden (Art. 61 lit. d ATSG).</w:t>
      </w:r>
    </w:p>
    <w:p>
      <w:r>
        <w:rPr>
          <w:b/>
        </w:rPr>
        <w:t>E. 2</w:t>
      </w:r>
    </w:p>
    <w:p>
      <w:r>
        <w:t>Von Interesse ist vorliegend insbesondere die Höhe des Vermögens der Beschwerde­führerin bzw. des daraus resultierenden und als Einnahme anzurechnenden Ver­mögensverzehrs und der Vermögenserträge. Diesbezüglich ist vorab festzustellen, dass die Beschwerdeführerin im Rahmen der beiden relevanten Erbgänge nicht auf Ver­mögen verzichtet hat, denn anstelle eines Anteils an der Liegenschaft traten ein Wohn­recht und eine Darlehensforderung.</w:t>
      </w:r>
    </w:p>
    <w:p>
      <w:r>
        <w:rPr>
          <w:b/>
        </w:rPr>
        <w:t>E. 2.1</w:t>
      </w:r>
    </w:p>
    <w:p>
      <w:r>
        <w:t>Bezüglich des Wohnrechts ist der Argumentation der Beschwerdegegnerin zu folgen. Im Rahmen einer Einsprache legte die zuständige Steuerbehörde den Eigen­mietwert der von der Beschwerdeführerin damals bewohnten Einliegerwohnung auf Fr. 3’900.-- fest; im Grundbucheintrag zur Erbteilung im Jahr 1991 wurde explizit fest­gehalten, dass der Kapitalwert des Wohnrechts Fr. 50’000.-- betrage. Das bedeutet, dass die Beschwerdeführerin in ebendiesem Betrag eine angemessene Gegenleistung erhalten hat, aber auch, dass weder ein Anteil des vereinbarten Darlehens noch der Zins, den die Beschwerdeführerin hätte verlangen können, das Wohnrecht abgegolten haben. Zwischen dem zinslosen Darlehen und dem eingeräumten Wohnrecht besteht mit anderen Worten kein Zusammenhang. Daran ändert auch die schwer verständliche Formulierung im Grundbucheintrag, das Darlehen sei unverzinslich, solange die Be­schwerdeführerin von ihrem unentgeltlichen Wohnrecht Gebrauch mache, nichts, denn ihr wurde im selben Eintrag das Recht eingeräumt, eine Verzinsung bis maximal fünf Prozent zu verlangen, wenn sie aus finanziellen Gründen darauf angewiesen sein sollte. Selbst wenn man annehmen wollte, der nicht eingeforderte Zins entschädige das Wohnrecht zusätzlich, ergäbe sich für die vorliegende Angelegenheit keine andere Schlussfolgerung. Die Beschwerdeführerin hätte diesfalls nämlich mehr für das Wohnrecht „bezahlt“ (nämlich eine Reduktion des Übernahmepreises um Fr. 50’000.-- plus nicht eingeforderte Zinsen auf der Darlehenssumme), als angemessen gewesen wäre. Dies wäre als Verzichtstatbestand im Sinne von Art. 11 Abs. 1 lit. g ELG zu qualifizieren. Es ist folglich davon auszugehen, dass das Wohnrecht angemessen mit Fr. 50’000.-- be­wertet und entschädigt wurde.</w:t>
      </w:r>
    </w:p>
    <w:p>
      <w:r>
        <w:rPr>
          <w:b/>
        </w:rPr>
        <w:t>E. 2.2</w:t>
      </w:r>
    </w:p>
    <w:p>
      <w:r>
        <w:t>Der im Grundbuch eingetragene Maximalzinssatz wird entgegen der Ansicht der Beschwerdeführerin durch das heutige tiefe Zinsniveau nicht relativiert. Es wäre den Parteien frei gestanden, eine irgendwie geartete Bindung des Maximalzinssatzes an die jeweilige Zinslage zu vereinbaren. Dies wurde aber nicht getan; der Maximalzinssatz wurde fix festgesetzt und bleibt daher verbindlich. Allerdings entspricht es, wie die Be­schwerdeführerin zu Recht ausführen liess, der gesetzlichen Regel von Art. 313 Abs. 1 des Obligationenrechts (OR; SR 220), dass private Darlehen nicht verzinst werden. Dass die Beschwerdeführerin grundsätzlich auf eine Verzinsung verzichtete, sich aber die Möglichkeit einer späteren Verzinsung vorbehielt, kann deshalb nicht ohne Weiteres als Verzichtstatbestand im Sinne von Art. 11 Abs. 1 lit. g ELG qualifiziert werden. Gerade vor dem Hintergrund, dass die Beschwerdeführerin namentlich aufgrund der Naturalleistungen ihrer Enkelin bis zum Heimeintritt Ende Mai 2011 nicht in eine finanzielle Notlage geriet, kann zumindest für die – hier allerdings nicht massgebende – Zeit bis Mai 2011 diesbezüglich nicht von einem Verzicht ausgegangen werden. Mit Heimeintritt verschlechterte sich allerdings die finanzielle Lage der Beschwerdeführerin so sehr, dass sie aus finanziellen Gründen auf eine Verzinsung des Darlehens an­gewiesen war. Entsprechend hätte sie die Verzinsung einfordern müssen, wurde ihr doch ein entsprechendes Recht explizit eingeräumt. Für den hier massgebenden Zeit­raum ab Mai 2011 ist daher von einem Verzicht in der Höhe von 5 % der Darlehens­schuld auszugehen.</w:t>
      </w:r>
    </w:p>
    <w:p>
      <w:r>
        <w:rPr>
          <w:b/>
        </w:rPr>
        <w:t>E. 2.3</w:t>
      </w:r>
    </w:p>
    <w:p>
      <w:r>
        <w:t>Was die Höhe des Darlehens betrifft, so ist ausgewiesen, dass diese ursprünglich bei Fr. 374’385.-- lag, und dass effektive Rückzahlungen über Fr. 163’000.-- getätigt wurden. Die Beschwerdeführerin lässt nun insbesondere geltend machen, der Betrag des Darlehens habe sich aufgrund von damit verrechneten Naturalleistungen im Betrag von Fr. 28’800.--, einer Schenkung über Fr. 60’000.-- und Zinsen auf einem „Gegendarlehen“ von Fr. 74’128.-- weiter reduziert.</w:t>
      </w:r>
    </w:p>
    <w:p>
      <w:r>
        <w:rPr>
          <w:b/>
        </w:rPr>
        <w:t>E. 2.3.1</w:t>
      </w:r>
    </w:p>
    <w:p>
      <w:r>
        <w:t>Bezüglich des „Gegendarlehens“ ist festzuhalten, dass es sich bei selbigem letztlich um nichts anderes als um die Tilgung des Darlehens bis zum entsprechenden Betrag handelt. Es spielt hinsichtlich des Reinvermögens keine Rolle, ob eine Dar­lehensforderung bestehen bleibt und eine Gegenforderung damit verrechnet wird, oder ob eine Darlehensforderung gleichsam „direkt“ verringert wird. So oder anders wird das Darlehen entsprechend teilweise getilgt. Der Eintrag der ursprünglichen Höhe des Dar­lehens steht dabei übrigens einer „direkten“ Amortisation keineswegs entgegen. Jeden­falls hat die Enkelin der Beschwerdeführerin mit jedem Betrag, den sie zum Gegen­darlehen addierte, ihre Darlehensschuld um den entsprechenden Betrag reduziert. Das bedeutet einerseits, dass das Vorgehen der Enkelin der Beschwerdeführerin zwar um­ständlich, aber letztlich zulässig und im Ergebnis zu berücksichtigen ist, andererseits aber auch, dass die Zinsforderung der Enkelin einer Grundlage entbehrt. Eine Dar­lehensschuld teilweise zu tilgen – ob direkt oder indirekt –, bedeutet hinsichtlich all­fälliger Zinsen, dass sich der Zinsanspruch des Darlehensgebers entsprechend ver­ringert, weil lediglich noch auf dem verbleibenden, tieferen Betrag Zinsen gefordert werden können. Ist das Darlehen zinslos, wird entsprechend keine Zinspflicht tangiert. Kein vernünftiger Darlehensgeber würde akzeptieren, wenn der Darlehensnehmer nicht nur die (zinslose) Darlehensforderung nicht direkt abzahlen würde, sondern auf den erstatteten aufsummierten Teilbeträgen (als "Gegendarlehen" qualifiziert) zusätzlich noch Zinsen erheben würde; der Darlehensgeber würde damit dem Darlehensnehmer nämlich einen Teilbetrag erlassen bzw. insgesamt weniger zurück erhalten, als er aus­geliehen hat. Ein solches Vorgehen wäre zwar zulässig, aber als teilweise Schenkung zu qualifizieren. Dafür, dass die Beschwerdeführerin ihre Enkelin entsprechend be­schenken wollte – immerhin im Umfang von rund einem Fünftel der ursprünglichen Darlehenshöhe –, fehlen in den Akten jegliche Anhaltspunkte. Entsprechend dürfen für die Ermittlung des Reinvermögens die „Zinsen“ auf dem „Gegendarlehen“ nicht berück­sichtigt werden.</w:t>
      </w:r>
    </w:p>
    <w:p>
      <w:r>
        <w:rPr>
          <w:b/>
        </w:rPr>
        <w:t>E. 2.3.2</w:t>
      </w:r>
    </w:p>
    <w:p>
      <w:r>
        <w:t>Bezüglich der Schenkung im Jahr 2003 spielt es keine Rolle, ob „Geld ge­flossen“ ist oder nicht. Entscheidend ist, ob die behauptete Schenkung belegt werden kann. Dies gelingt der Beschwerdeführerin, wurde die Schenkung doch gegenüber den Steuerbehörden – sieben Jahre vor der Anmeldung zum Bezug von Ergänzungs­leistungen – von beiden Seiten korrekt deklariert (act. G 1.1.6). Diese Schenkung ist an sich als Verzicht zu qualifizieren, doch sieht Art. 17a Abs. 1 der Verordnung über die Ergänzungsleistungen zur Alters-, Hinterlassenen- und Invalidenversicherung (ELV; SR 831.301) vor, dass der anzurechnende Betrag von Vermögenswerten, auf die ver­zichtet worden ist, jährlich um Fr. 10’000.-- vermindert wird, gemäss Art. 17a Abs. 2 ELV erstmals im zweiten auf den Verzicht folgenden Jahr. Das bedeutet, dass für das Jahr 2004 ein Verzichtsvermögen von Fr. 60’000.-- anzurechnen gewesen wäre, für das Jahr 2005 ein solches von Fr. 50’000.--, für das Jahr 2006 ein solches von Fr. 40’000.-- und so weiter. Für das Jahr 2010 wäre entsprechend erstmals kein Verzichtsvermögen mehr anzurechnen gewesen. Da die Anmeldung zum Bezug von Ergänzungsleistungen erst im Folgejahr erfolgte, ist gesamthaft von einem um Fr. 60’000.-- verminderten Rein­vermögen auszugehen.</w:t>
      </w:r>
    </w:p>
    <w:p>
      <w:r>
        <w:rPr>
          <w:b/>
        </w:rPr>
        <w:t>E. 2.3.3</w:t>
      </w:r>
    </w:p>
    <w:p>
      <w:r>
        <w:t>Die Kosten für Verpflegung und Betreuung von gesamthaft Fr. 28’800.-- können ebenfalls berücksichtigt werden. Zwar wird grundsätzlich vermutet, dass entsprechende Naturalleistungen unter Verwandten in direkter Linie (zumindest zwischen Eltern und Kindern) unentgeltlich erbracht werden. Können die Betroffenen aber nachweisen, dass von Beginn weg Entgeltlichkeit solcher Leistungen vereinbart wurde – was ohne Weiteres zulässig ist –, ist die Vermutung widerlegt und sind entsprechende Zahlungen zu berücksichtigen. Vorliegend leistete die Enkelin der Beschwerdeführerin bis ins Jahr 2006 regelmässige Rückzahlungen, die gegenüber den Steuerbehörden deklariert und von diesen bei der Steuerveranlagung berücksichtigt wurden. Ab dem Jahr 2007 sind keine Rückzahlungen mehr belegt; die Beschwerdeführerin liess aber geltend machen, ab diesem Jahr seien jährlich Naturalleistungen von Fr. 7’200.-- zum Gegendarlehen addiert worden. Es fällt auf, dass gegenüber den Steuerbehörden auch in den Jahren 2007–2011 jeweils weitere Verminderungen des Darlehensguthabens deklariert wurden, welche bei den Veranlagungen berücksichtigt wurden. Diese Reduktionen betrugen zwar jeweils mehr als Fr. 7’200.--, was aber wohl darauf zurückzuführen ist, dass die Enkelin der Beschwerdeführerin (weiterhin) Zinsen auf ihrem Gegendarlehen be­rechnete. Jedenfalls ist ausgewiesen, dass die Beschwerdeführerin auch nach dem Jahr 2006 Leistungen der Enkelin entgegen genommen und mit dem Darlehen verrechnet hat. Da keine Rückzahlungen in Geld belegt sind, ist mit überwiegender Wahrschein­lichkeit davon auszugehen, dass es sich dabei um die geltend gemachten Natural­leistungen handelte, die im Übrigen angemessen bewertet wurden.</w:t>
      </w:r>
    </w:p>
    <w:p>
      <w:r>
        <w:rPr>
          <w:b/>
        </w:rPr>
        <w:t>E. 2.3.4</w:t>
      </w:r>
    </w:p>
    <w:p>
      <w:r>
        <w:t>Schliesslich ist zu berücksichtigen, dass die Beschwerdeführerin in den Jahren 1991–2011 lediglich eine Rente der AHV sowie eine tiefe Rente aus beruflicher Vorsorge erhielt; es ist plausibel, dass die Beschwerdeführerin zur Bestreitung ihres  Lebensbedarfs auf ihr Vermögen zurückgreifen musste. Eine Verminderung von Fr. 191’800.-- (= Fr. 163’000.-- + Fr. 28’800.--) über einen Zeitraum von 20 Jahren bzw. von jährlich knapp Fr. 10’000.-- kann angesichts der gesamten Umstände nicht als übermässig qualifiziert werden. Unter Berücksichtigung des Ausgangsguthabens von Fr. 374’385.-- und der Schenkung über Fr. 60’000.-- im Jahr 2003 ist mithin die Höhe der Darlehensforderung per Ende 2010 auf Fr. 122’585.-- und per Anmeldedatum bzw. 1. Mai 2011 auf Fr. 120’185.-- (= Fr. 122’585.-- – Fr. 7’200.-- ÷ 3) festzulegen.</w:t>
      </w:r>
    </w:p>
    <w:p>
      <w:r>
        <w:rPr>
          <w:b/>
        </w:rPr>
        <w:t>E. 2.4</w:t>
      </w:r>
    </w:p>
    <w:p>
      <w:r>
        <w:t>Der in E. 2.2 erwähnte Verzichtszins ist demnach per 1. Mai 2011 auf jährlich Fr. 6’009.-- (5 % von Fr. 120’185.--) festzulegen.</w:t>
      </w:r>
    </w:p>
    <w:p>
      <w:r>
        <w:rPr>
          <w:b/>
        </w:rPr>
        <w:t>E. 3</w:t>
      </w:r>
    </w:p>
    <w:p>
      <w:r>
        <w:t>. Die Berechnung des EL-Anspruchs, wie sie sich dem Berechnungsblatt zum ange­fochtenen Einspracheentscheid (zu EL-act. 32) entnehmen lässt, ist im Übrigen nicht zu beanstanden. Demnach sind Ausgaben von Fr. 51’091.-- zu anerkennen. Als Vermögen ist ein Betrag von Fr. 187’384.-- (= Fr. 67’199.-- + Fr. 120’185.--) zu berücksichtigen, von dem ein Freibetrag von Fr. 37’500.-- abzuziehen ist; das anrechenbare Vermögen be­läuft sich demnach auf Fr. 149’884.--. Als Einnahmen anzurechnen sind ein Ver­mögensverzehr von einem Fünftel des Vermögens (Fr. 29’977.--), Verzichtszinsen von Fr. 6’009.--, die Rente der AHV von Fr. 26’724.--, die Rente aus beruflicher Vorsorge von Fr. 8’016.-- und die Zinsen aus beweglichem Vermögen von Fr. 273.--, gesamthaft also ein Betrag von Fr. 70’999.--. Die anrechenbaren Einnahmen übersteigen mithin die anerkannten Ausgaben um Fr. 19’908.--. Ein Anspruch auf eine jährliche Ergänzungs­leistung besteht vor diesem Hintergrund nicht, weshalb der angefochtene Einsprache­entscheid im Ergebnis zu bestätigen und die Beschwerde entsprechend abzuweisen ist.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